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7FC4" w14:textId="77777777" w:rsidR="00A77B3E" w:rsidRDefault="00544B97" w:rsidP="00544B97">
      <w:pPr>
        <w:spacing w:line="276" w:lineRule="auto"/>
        <w:jc w:val="left"/>
        <w:rPr>
          <w:b/>
          <w:caps/>
        </w:rPr>
      </w:pPr>
      <w:r>
        <w:rPr>
          <w:b/>
          <w:caps/>
        </w:rPr>
        <w:t>Uchwała Nr XLVI/372/22</w:t>
      </w:r>
      <w:r>
        <w:rPr>
          <w:b/>
          <w:caps/>
        </w:rPr>
        <w:br/>
        <w:t>Rady Powiatu Cieszyńskiego</w:t>
      </w:r>
    </w:p>
    <w:p w14:paraId="6F4ABC40" w14:textId="77777777" w:rsidR="00544B97" w:rsidRDefault="00544B97" w:rsidP="00544B97">
      <w:pPr>
        <w:spacing w:line="276" w:lineRule="auto"/>
        <w:jc w:val="left"/>
        <w:rPr>
          <w:b/>
          <w:caps/>
        </w:rPr>
      </w:pPr>
      <w:r>
        <w:t>z dnia 29 listopada 2022 r.</w:t>
      </w:r>
    </w:p>
    <w:p w14:paraId="4E49B72E" w14:textId="15C630CC" w:rsidR="00A77B3E" w:rsidRPr="00544B97" w:rsidRDefault="00544B97" w:rsidP="00544B97">
      <w:pPr>
        <w:spacing w:line="276" w:lineRule="auto"/>
        <w:jc w:val="left"/>
        <w:rPr>
          <w:b/>
          <w:caps/>
        </w:rPr>
      </w:pPr>
      <w:r>
        <w:rPr>
          <w:b/>
        </w:rPr>
        <w:t>w sprawie ustalenia rozkładu godzin pracy aptek ogólnodostępnych na terenie powiatu cieszyńskiego w roku 2023.</w:t>
      </w:r>
    </w:p>
    <w:p w14:paraId="7D053AE5" w14:textId="77777777" w:rsidR="00A77B3E" w:rsidRDefault="00544B97" w:rsidP="00544B97">
      <w:pPr>
        <w:keepLines/>
        <w:jc w:val="left"/>
      </w:pPr>
      <w:r>
        <w:t xml:space="preserve">Na podstawie art. 12 pkt 11 ustawy z dnia 5 czerwca 1998 r. o samorządzie powiatowym (tekst jednolity: Dz.U.2022 r. poz. 1526) oraz art. 94 ust. 1 i 2 ustawy z dnia 6 września 2001r. - Prawo farmaceutyczne (tekst jednolity: Dz. U. z 2021 r., poz. 1977 z </w:t>
      </w:r>
      <w:proofErr w:type="spellStart"/>
      <w:r>
        <w:t>pózn</w:t>
      </w:r>
      <w:proofErr w:type="spellEnd"/>
      <w:r>
        <w:t>. zm.) po zasięgnięciu opinii wójtów gmin, burmistrzów miast z terenu powiatu cieszyńskiego i Beskidzkiej Okręgowej Izby Aptekarskiej w Bielsku-Białej oraz przeprowadzeniu konsultacji zgodnie z uchwałą nr XXXII/277/13 Rady Powiatu Cieszyńskiego z dnia 23 kwietnia 2013 r. w sprawie określenia zasad i trybu przeprowadzania konsultacji</w:t>
      </w:r>
    </w:p>
    <w:p w14:paraId="4CB16591" w14:textId="77777777" w:rsidR="00A77B3E" w:rsidRDefault="00544B97" w:rsidP="00544B97">
      <w:pPr>
        <w:jc w:val="left"/>
        <w:rPr>
          <w:b/>
        </w:rPr>
      </w:pPr>
      <w:r>
        <w:rPr>
          <w:b/>
        </w:rPr>
        <w:t>Rada Powiatu Cieszyńskiego uchwala:</w:t>
      </w:r>
    </w:p>
    <w:p w14:paraId="4C92479D" w14:textId="1B95E2AE" w:rsidR="00A77B3E" w:rsidRDefault="00E7129E" w:rsidP="00544B97">
      <w:pPr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 w:rsidR="00544B97">
        <w:rPr>
          <w:b/>
        </w:rPr>
        <w:t>1. </w:t>
      </w:r>
      <w:r w:rsidR="00544B97">
        <w:t>Ustalić rozkład godzin pracy aptek ogólnodostępnych na terenie powiatu cieszyńskiego, stanowiący załącznik nr 1 do niniejszej uchwały oraz harmonogram pracy aptek w porze nocnej, w niedzielę, święta i inne dni wolne od pracy, stanowiący załącznik nr 2 do niniejszej uchwały.</w:t>
      </w:r>
    </w:p>
    <w:p w14:paraId="22D22702" w14:textId="09F41827" w:rsidR="00A77B3E" w:rsidRDefault="00E7129E" w:rsidP="00544B97">
      <w:pPr>
        <w:keepLines/>
        <w:jc w:val="left"/>
      </w:pPr>
      <w:r>
        <w:rPr>
          <w:b/>
        </w:rPr>
        <w:t>Paragraf</w:t>
      </w:r>
      <w:r w:rsidR="00544B97">
        <w:rPr>
          <w:b/>
        </w:rPr>
        <w:t> 2. </w:t>
      </w:r>
      <w:r w:rsidR="00544B97">
        <w:t>Wykonanie uchwały powierzyć Zarządowi Powiatu.</w:t>
      </w:r>
      <w:r w:rsidR="00544B97">
        <w:tab/>
      </w:r>
    </w:p>
    <w:p w14:paraId="732F2A73" w14:textId="2B95B28D" w:rsidR="00A77B3E" w:rsidRDefault="00E7129E" w:rsidP="00544B97">
      <w:pPr>
        <w:keepNext/>
        <w:keepLines/>
        <w:jc w:val="left"/>
      </w:pPr>
      <w:r>
        <w:rPr>
          <w:b/>
        </w:rPr>
        <w:t>Paragraf</w:t>
      </w:r>
      <w:r w:rsidR="00544B97">
        <w:rPr>
          <w:b/>
        </w:rPr>
        <w:t> 3. </w:t>
      </w:r>
      <w:r w:rsidR="00544B97">
        <w:t>Uchwała wchodzi w życie po upływie 14 dni od dnia jej ogłoszenia w Dzienniku Urzędowym Województwa Śląskiego.</w:t>
      </w:r>
    </w:p>
    <w:p w14:paraId="16E8ADE9" w14:textId="18B849C3" w:rsidR="00544B97" w:rsidRDefault="00544B97" w:rsidP="00544B97">
      <w:pPr>
        <w:keepNext/>
        <w:keepLines/>
        <w:jc w:val="left"/>
      </w:pPr>
      <w:r w:rsidRPr="00544B97">
        <w:rPr>
          <w:b/>
          <w:bCs/>
          <w:color w:val="000000"/>
          <w:szCs w:val="22"/>
        </w:rPr>
        <w:t>Przewodniczący Rady Powiatu</w:t>
      </w:r>
      <w:r>
        <w:rPr>
          <w:color w:val="000000"/>
          <w:szCs w:val="22"/>
        </w:rPr>
        <w:t xml:space="preserve"> </w:t>
      </w:r>
      <w:r>
        <w:rPr>
          <w:b/>
        </w:rPr>
        <w:t>Stanisław </w:t>
      </w:r>
      <w:proofErr w:type="spellStart"/>
      <w:r>
        <w:rPr>
          <w:b/>
        </w:rPr>
        <w:t>Kubicius</w:t>
      </w:r>
      <w:proofErr w:type="spellEnd"/>
    </w:p>
    <w:p w14:paraId="737C7CDA" w14:textId="77777777" w:rsidR="00A77B3E" w:rsidRDefault="00A77B3E" w:rsidP="00544B97">
      <w:pPr>
        <w:keepNext/>
        <w:keepLines/>
        <w:spacing w:before="120"/>
        <w:ind w:firstLine="340"/>
        <w:jc w:val="left"/>
      </w:pPr>
    </w:p>
    <w:p w14:paraId="09CEB9CD" w14:textId="77777777" w:rsidR="00A77B3E" w:rsidRDefault="00544B97" w:rsidP="00544B97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0063F" w14:paraId="4F60F0F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A91A9" w14:textId="77777777" w:rsidR="00A0063F" w:rsidRDefault="00A0063F" w:rsidP="00544B9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2F655" w14:textId="035FC8B3" w:rsidR="00A0063F" w:rsidRDefault="00A0063F" w:rsidP="00544B97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</w:p>
        </w:tc>
      </w:tr>
    </w:tbl>
    <w:p w14:paraId="55094EFB" w14:textId="77777777" w:rsidR="00A77B3E" w:rsidRDefault="00544B97" w:rsidP="00544B97">
      <w:pPr>
        <w:spacing w:before="120" w:after="120" w:line="480" w:lineRule="auto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ab/>
      </w:r>
    </w:p>
    <w:p w14:paraId="6127DACF" w14:textId="77777777" w:rsidR="00A77B3E" w:rsidRDefault="00544B97" w:rsidP="00544B97">
      <w:pPr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Nr 1 do Uchwały Nr XLVI/372/22</w:t>
      </w:r>
      <w:r>
        <w:br/>
        <w:t>Rady Powiatu Cieszyńskiego</w:t>
      </w:r>
      <w:r>
        <w:br/>
        <w:t>z dnia 29 listopada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14:paraId="5102190E" w14:textId="77777777" w:rsidR="00A77B3E" w:rsidRDefault="00544B97" w:rsidP="00544B97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 2 do Uchwały Nr XLVI/372/22</w:t>
      </w:r>
      <w:r>
        <w:br/>
        <w:t>Rady Powiatu Cieszyńskiego</w:t>
      </w:r>
      <w:r>
        <w:br/>
        <w:t>z dnia 29 listopada 2022 r.</w:t>
      </w:r>
      <w:r>
        <w:br/>
      </w:r>
      <w:hyperlink r:id="rId9" w:history="1">
        <w:r>
          <w:rPr>
            <w:rStyle w:val="Hipercze"/>
            <w:color w:val="auto"/>
            <w:u w:val="none"/>
          </w:rPr>
          <w:t>Zalacznik2.pdf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EA33" w14:textId="77777777" w:rsidR="00170A67" w:rsidRDefault="00544B97">
      <w:r>
        <w:separator/>
      </w:r>
    </w:p>
  </w:endnote>
  <w:endnote w:type="continuationSeparator" w:id="0">
    <w:p w14:paraId="128089F7" w14:textId="77777777" w:rsidR="00170A67" w:rsidRDefault="0054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63F" w14:paraId="75AD752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6437A7" w14:textId="77777777" w:rsidR="00A0063F" w:rsidRDefault="00544B97">
          <w:pPr>
            <w:jc w:val="left"/>
            <w:rPr>
              <w:rFonts w:ascii="Arial Black" w:eastAsia="Arial Black" w:hAnsi="Arial Black" w:cs="Arial Black"/>
              <w:sz w:val="18"/>
            </w:rPr>
          </w:pPr>
          <w:r>
            <w:rPr>
              <w:rFonts w:ascii="Arial Black" w:eastAsia="Arial Black" w:hAnsi="Arial Black" w:cs="Arial Black"/>
              <w:sz w:val="18"/>
            </w:rPr>
            <w:t>Id: 1A71AF8C-7405-4FFE-B546-96408FA395C1.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B7A7CE" w14:textId="77777777" w:rsidR="00A0063F" w:rsidRDefault="00544B97">
          <w:pPr>
            <w:jc w:val="right"/>
            <w:rPr>
              <w:rFonts w:ascii="Arial Black" w:eastAsia="Arial Black" w:hAnsi="Arial Black" w:cs="Arial Black"/>
              <w:sz w:val="18"/>
            </w:rPr>
          </w:pPr>
          <w:r>
            <w:rPr>
              <w:rFonts w:ascii="Arial Black" w:eastAsia="Arial Black" w:hAnsi="Arial Black" w:cs="Arial Black"/>
              <w:sz w:val="18"/>
            </w:rPr>
            <w:t xml:space="preserve">Strona </w:t>
          </w:r>
          <w:r>
            <w:rPr>
              <w:rFonts w:ascii="Arial Black" w:eastAsia="Arial Black" w:hAnsi="Arial Black" w:cs="Arial Black"/>
              <w:sz w:val="18"/>
            </w:rPr>
            <w:fldChar w:fldCharType="begin"/>
          </w:r>
          <w:r>
            <w:rPr>
              <w:rFonts w:ascii="Arial Black" w:eastAsia="Arial Black" w:hAnsi="Arial Black" w:cs="Arial Black"/>
              <w:sz w:val="18"/>
            </w:rPr>
            <w:instrText>PAGE</w:instrText>
          </w:r>
          <w:r>
            <w:rPr>
              <w:rFonts w:ascii="Arial Black" w:eastAsia="Arial Black" w:hAnsi="Arial Black" w:cs="Arial Black"/>
              <w:sz w:val="18"/>
            </w:rPr>
            <w:fldChar w:fldCharType="separate"/>
          </w:r>
          <w:r>
            <w:rPr>
              <w:rFonts w:ascii="Arial Black" w:eastAsia="Arial Black" w:hAnsi="Arial Black" w:cs="Arial Black"/>
              <w:noProof/>
              <w:sz w:val="18"/>
            </w:rPr>
            <w:t>1</w:t>
          </w:r>
          <w:r>
            <w:rPr>
              <w:rFonts w:ascii="Arial Black" w:eastAsia="Arial Black" w:hAnsi="Arial Black" w:cs="Arial Black"/>
              <w:sz w:val="18"/>
            </w:rPr>
            <w:fldChar w:fldCharType="end"/>
          </w:r>
        </w:p>
      </w:tc>
    </w:tr>
  </w:tbl>
  <w:p w14:paraId="1A738E64" w14:textId="77777777" w:rsidR="00A0063F" w:rsidRDefault="00A0063F">
    <w:pPr>
      <w:rPr>
        <w:rFonts w:ascii="Arial Black" w:eastAsia="Arial Black" w:hAnsi="Arial Black" w:cs="Arial Black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63F" w14:paraId="2F38140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F21167" w14:textId="77777777" w:rsidR="00A0063F" w:rsidRDefault="00544B97">
          <w:pPr>
            <w:jc w:val="left"/>
            <w:rPr>
              <w:rFonts w:ascii="Arial Black" w:eastAsia="Arial Black" w:hAnsi="Arial Black" w:cs="Arial Black"/>
              <w:sz w:val="18"/>
            </w:rPr>
          </w:pPr>
          <w:r>
            <w:rPr>
              <w:rFonts w:ascii="Arial Black" w:eastAsia="Arial Black" w:hAnsi="Arial Black" w:cs="Arial Black"/>
              <w:sz w:val="18"/>
            </w:rPr>
            <w:t>Id: 1A71AF8C-7405-4FFE-B546-96408FA395C1.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9250F1" w14:textId="51B8AE29" w:rsidR="00A0063F" w:rsidRDefault="00544B97">
          <w:pPr>
            <w:jc w:val="right"/>
            <w:rPr>
              <w:rFonts w:ascii="Arial Black" w:eastAsia="Arial Black" w:hAnsi="Arial Black" w:cs="Arial Black"/>
              <w:sz w:val="18"/>
            </w:rPr>
          </w:pPr>
          <w:r>
            <w:rPr>
              <w:rFonts w:ascii="Arial Black" w:eastAsia="Arial Black" w:hAnsi="Arial Black" w:cs="Arial Black"/>
              <w:sz w:val="18"/>
            </w:rPr>
            <w:t xml:space="preserve">Strona </w:t>
          </w:r>
          <w:r>
            <w:rPr>
              <w:rFonts w:ascii="Arial Black" w:eastAsia="Arial Black" w:hAnsi="Arial Black" w:cs="Arial Black"/>
              <w:sz w:val="18"/>
            </w:rPr>
            <w:fldChar w:fldCharType="begin"/>
          </w:r>
          <w:r>
            <w:rPr>
              <w:rFonts w:ascii="Arial Black" w:eastAsia="Arial Black" w:hAnsi="Arial Black" w:cs="Arial Black"/>
              <w:sz w:val="18"/>
            </w:rPr>
            <w:instrText>PAGE</w:instrText>
          </w:r>
          <w:r>
            <w:rPr>
              <w:rFonts w:ascii="Arial Black" w:eastAsia="Arial Black" w:hAnsi="Arial Black" w:cs="Arial Black"/>
              <w:sz w:val="18"/>
            </w:rPr>
            <w:fldChar w:fldCharType="separate"/>
          </w:r>
          <w:r>
            <w:rPr>
              <w:rFonts w:ascii="Arial Black" w:eastAsia="Arial Black" w:hAnsi="Arial Black" w:cs="Arial Black"/>
              <w:noProof/>
              <w:sz w:val="18"/>
            </w:rPr>
            <w:t>1</w:t>
          </w:r>
          <w:r>
            <w:rPr>
              <w:rFonts w:ascii="Arial Black" w:eastAsia="Arial Black" w:hAnsi="Arial Black" w:cs="Arial Black"/>
              <w:sz w:val="18"/>
            </w:rPr>
            <w:fldChar w:fldCharType="end"/>
          </w:r>
        </w:p>
      </w:tc>
    </w:tr>
  </w:tbl>
  <w:p w14:paraId="15662326" w14:textId="77777777" w:rsidR="00A0063F" w:rsidRDefault="00A0063F">
    <w:pPr>
      <w:rPr>
        <w:rFonts w:ascii="Arial Black" w:eastAsia="Arial Black" w:hAnsi="Arial Black" w:cs="Arial Black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63F" w14:paraId="6F2267C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D872D1" w14:textId="77777777" w:rsidR="00A0063F" w:rsidRDefault="00544B97">
          <w:pPr>
            <w:jc w:val="left"/>
            <w:rPr>
              <w:rFonts w:ascii="Arial Black" w:eastAsia="Arial Black" w:hAnsi="Arial Black" w:cs="Arial Black"/>
              <w:sz w:val="18"/>
            </w:rPr>
          </w:pPr>
          <w:r>
            <w:rPr>
              <w:rFonts w:ascii="Arial Black" w:eastAsia="Arial Black" w:hAnsi="Arial Black" w:cs="Arial Black"/>
              <w:sz w:val="18"/>
            </w:rPr>
            <w:t>Id: 1A71AF8C-7405-4FFE-B546-96408FA395C1.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B9C0B4" w14:textId="34FE34A9" w:rsidR="00A0063F" w:rsidRDefault="00544B97">
          <w:pPr>
            <w:jc w:val="right"/>
            <w:rPr>
              <w:rFonts w:ascii="Arial Black" w:eastAsia="Arial Black" w:hAnsi="Arial Black" w:cs="Arial Black"/>
              <w:sz w:val="18"/>
            </w:rPr>
          </w:pPr>
          <w:r>
            <w:rPr>
              <w:rFonts w:ascii="Arial Black" w:eastAsia="Arial Black" w:hAnsi="Arial Black" w:cs="Arial Black"/>
              <w:sz w:val="18"/>
            </w:rPr>
            <w:t xml:space="preserve">Strona </w:t>
          </w:r>
          <w:r>
            <w:rPr>
              <w:rFonts w:ascii="Arial Black" w:eastAsia="Arial Black" w:hAnsi="Arial Black" w:cs="Arial Black"/>
              <w:sz w:val="18"/>
            </w:rPr>
            <w:fldChar w:fldCharType="begin"/>
          </w:r>
          <w:r>
            <w:rPr>
              <w:rFonts w:ascii="Arial Black" w:eastAsia="Arial Black" w:hAnsi="Arial Black" w:cs="Arial Black"/>
              <w:sz w:val="18"/>
            </w:rPr>
            <w:instrText>PAGE</w:instrText>
          </w:r>
          <w:r>
            <w:rPr>
              <w:rFonts w:ascii="Arial Black" w:eastAsia="Arial Black" w:hAnsi="Arial Black" w:cs="Arial Black"/>
              <w:sz w:val="18"/>
            </w:rPr>
            <w:fldChar w:fldCharType="separate"/>
          </w:r>
          <w:r>
            <w:rPr>
              <w:rFonts w:ascii="Arial Black" w:eastAsia="Arial Black" w:hAnsi="Arial Black" w:cs="Arial Black"/>
              <w:noProof/>
              <w:sz w:val="18"/>
            </w:rPr>
            <w:t>1</w:t>
          </w:r>
          <w:r>
            <w:rPr>
              <w:rFonts w:ascii="Arial Black" w:eastAsia="Arial Black" w:hAnsi="Arial Black" w:cs="Arial Black"/>
              <w:sz w:val="18"/>
            </w:rPr>
            <w:fldChar w:fldCharType="end"/>
          </w:r>
        </w:p>
      </w:tc>
    </w:tr>
  </w:tbl>
  <w:p w14:paraId="15F3DB1E" w14:textId="77777777" w:rsidR="00A0063F" w:rsidRDefault="00A0063F">
    <w:pPr>
      <w:rPr>
        <w:rFonts w:ascii="Arial Black" w:eastAsia="Arial Black" w:hAnsi="Arial Black" w:cs="Arial Blac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1077" w14:textId="77777777" w:rsidR="00170A67" w:rsidRDefault="00544B97">
      <w:r>
        <w:separator/>
      </w:r>
    </w:p>
  </w:footnote>
  <w:footnote w:type="continuationSeparator" w:id="0">
    <w:p w14:paraId="6CAAE67D" w14:textId="77777777" w:rsidR="00170A67" w:rsidRDefault="0054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70A67"/>
    <w:rsid w:val="00544B97"/>
    <w:rsid w:val="00A0063F"/>
    <w:rsid w:val="00A77B3E"/>
    <w:rsid w:val="00CA2A55"/>
    <w:rsid w:val="00E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0A14C"/>
  <w15:docId w15:val="{F04F56AF-8DA7-4050-ADA6-28EB8FA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4B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4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4B9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4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4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XLVI/372/22 z dnia 29 listopada 2022 r.</dc:title>
  <dc:subject>w sprawie ustalenia rozkładu godzin pracy aptek ogólnodostępnych na terenie powiatu cieszyńskiego w roku 2023.</dc:subject>
  <dc:creator>bkrajs</dc:creator>
  <cp:lastModifiedBy>Aneta Cholewa</cp:lastModifiedBy>
  <cp:revision>3</cp:revision>
  <dcterms:created xsi:type="dcterms:W3CDTF">2022-11-30T12:02:00Z</dcterms:created>
  <dcterms:modified xsi:type="dcterms:W3CDTF">2022-12-07T07:36:00Z</dcterms:modified>
  <cp:category>Akt prawny</cp:category>
</cp:coreProperties>
</file>