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10737" w14:textId="0DB9AE2E" w:rsidR="00EA6B79" w:rsidRPr="00B5574B" w:rsidRDefault="00EA6B79" w:rsidP="00EA6B79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/>
        </w:rPr>
      </w:pPr>
      <w:bookmarkStart w:id="0" w:name="_Hlk1733916"/>
      <w:r w:rsidRPr="00B5574B">
        <w:rPr>
          <w:rFonts w:ascii="Calibri" w:hAnsi="Calibri"/>
          <w:noProof/>
          <w:lang w:eastAsia="pl-PL"/>
        </w:rPr>
        <w:drawing>
          <wp:inline distT="0" distB="0" distL="0" distR="0" wp14:anchorId="0262883F" wp14:editId="131E5543">
            <wp:extent cx="5760720" cy="558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0302333" w14:textId="589A32ED" w:rsidR="00AA4641" w:rsidRPr="00AA4641" w:rsidRDefault="00AB6A33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12032C">
        <w:rPr>
          <w:rFonts w:ascii="Times New Roman" w:eastAsia="Calibri" w:hAnsi="Times New Roman" w:cs="Times New Roman"/>
          <w:b/>
          <w:i/>
          <w:sz w:val="24"/>
          <w:szCs w:val="24"/>
        </w:rPr>
        <w:t>10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44E690A2" w:rsidR="00AA4641" w:rsidRPr="00AA4641" w:rsidRDefault="00AA4641" w:rsidP="00B545B3">
      <w:pPr>
        <w:pStyle w:val="Tekstpodstawowy"/>
        <w:jc w:val="both"/>
        <w:rPr>
          <w:sz w:val="24"/>
          <w:szCs w:val="24"/>
        </w:rPr>
      </w:pPr>
      <w:r w:rsidRPr="00EA6B79">
        <w:rPr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 w:rsidRPr="00EA6B79">
        <w:rPr>
          <w:sz w:val="24"/>
          <w:szCs w:val="24"/>
          <w:lang w:eastAsia="pl-PL"/>
        </w:rPr>
        <w:t xml:space="preserve"> </w:t>
      </w:r>
      <w:bookmarkStart w:id="1" w:name="_Hlk71784551"/>
      <w:r w:rsidR="00EA6B79">
        <w:rPr>
          <w:b/>
          <w:i/>
          <w:iCs/>
          <w:sz w:val="24"/>
          <w:szCs w:val="24"/>
        </w:rPr>
        <w:t>r</w:t>
      </w:r>
      <w:r w:rsidR="00EA6B79" w:rsidRPr="00EA6B79">
        <w:rPr>
          <w:b/>
          <w:i/>
          <w:iCs/>
          <w:sz w:val="24"/>
          <w:szCs w:val="24"/>
        </w:rPr>
        <w:t>ealizacja szkoleń i kursów rozwijających kompetencje i umiejętności uczniów                           w ramach projektu „Podniesienie jakości kształcenia w powiacie cieszyńskim” współfinansowanego ze środków Unii Europejskiej</w:t>
      </w:r>
      <w:bookmarkEnd w:id="1"/>
      <w:r w:rsidR="0012032C">
        <w:rPr>
          <w:b/>
          <w:i/>
          <w:iCs/>
          <w:sz w:val="24"/>
          <w:szCs w:val="24"/>
        </w:rPr>
        <w:t xml:space="preserve"> –etap II</w:t>
      </w:r>
      <w:bookmarkStart w:id="2" w:name="_GoBack"/>
      <w:bookmarkEnd w:id="2"/>
      <w:r w:rsidR="00B545B3">
        <w:rPr>
          <w:sz w:val="24"/>
          <w:szCs w:val="24"/>
        </w:rPr>
        <w:t xml:space="preserve">, </w:t>
      </w:r>
      <w:r w:rsidRPr="00AA4641">
        <w:rPr>
          <w:sz w:val="24"/>
          <w:szCs w:val="24"/>
          <w:lang w:eastAsia="pl-PL"/>
        </w:rPr>
        <w:t>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których mowa w art. 270–277d Kodeksu karnego, lub przestępstwo skarbowe,</w:t>
      </w:r>
    </w:p>
    <w:p w14:paraId="0D822F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66902DC4" w14:textId="475128A0" w:rsidR="00AA4641" w:rsidRPr="009A52E6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309ABF1A" w14:textId="77777777" w:rsidR="009A52E6" w:rsidRDefault="009A52E6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796CFFBF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2EE0911" w14:textId="466B4C87" w:rsidR="009A52E6" w:rsidRPr="005D3B66" w:rsidRDefault="009A52E6" w:rsidP="009A52E6">
      <w:pPr>
        <w:pStyle w:val="Akapitzlist"/>
        <w:numPr>
          <w:ilvl w:val="0"/>
          <w:numId w:val="3"/>
        </w:numPr>
        <w:spacing w:line="288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60DEAB9D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96A8917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5014F0A" w14:textId="77777777" w:rsidR="009A52E6" w:rsidRPr="009A52E6" w:rsidRDefault="009A52E6" w:rsidP="009A52E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1DCBD" w14:textId="01770DFE" w:rsidR="009A52E6" w:rsidRPr="005D3B66" w:rsidRDefault="005D3B66" w:rsidP="005D3B6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6DE8ECBE" w14:textId="77777777" w:rsidR="006E6801" w:rsidRPr="00FB2400" w:rsidRDefault="006E680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12032C"/>
    <w:rsid w:val="00163057"/>
    <w:rsid w:val="005C49EE"/>
    <w:rsid w:val="005D3B66"/>
    <w:rsid w:val="006E6801"/>
    <w:rsid w:val="0073227C"/>
    <w:rsid w:val="007B4164"/>
    <w:rsid w:val="008C0D70"/>
    <w:rsid w:val="009142C6"/>
    <w:rsid w:val="009A52E6"/>
    <w:rsid w:val="00AA4641"/>
    <w:rsid w:val="00AB6A33"/>
    <w:rsid w:val="00B545B3"/>
    <w:rsid w:val="00C60325"/>
    <w:rsid w:val="00D451B4"/>
    <w:rsid w:val="00EA6B79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545B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5B3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12</cp:revision>
  <dcterms:created xsi:type="dcterms:W3CDTF">2021-02-19T14:04:00Z</dcterms:created>
  <dcterms:modified xsi:type="dcterms:W3CDTF">2021-06-21T11:31:00Z</dcterms:modified>
</cp:coreProperties>
</file>