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2333" w14:textId="011AA5F6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9170604"/>
      <w:r w:rsidR="007B4164" w:rsidRPr="007B4164">
        <w:rPr>
          <w:rFonts w:ascii="Times New Roman" w:hAnsi="Times New Roman" w:cs="Times New Roman"/>
          <w:sz w:val="24"/>
          <w:szCs w:val="24"/>
        </w:rPr>
        <w:t>Modernizacja szczegółowej wysokościowej osnowy geodezyjnej – etap II – realizacja zatwierdzonego projektu technicznego obejmującego południowy obszar powiatu cieszyńskiego</w:t>
      </w:r>
      <w:bookmarkEnd w:id="0"/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Pr="005D3B66">
        <w:rPr>
          <w:b/>
          <w:bCs/>
          <w:sz w:val="24"/>
          <w:szCs w:val="24"/>
        </w:rPr>
        <w:t xml:space="preserve">świadczam, że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       </w:t>
      </w:r>
      <w:r w:rsidRPr="005D3B66">
        <w:rPr>
          <w:b/>
          <w:bCs/>
          <w:sz w:val="24"/>
          <w:szCs w:val="24"/>
        </w:rPr>
        <w:t xml:space="preserve">w postępowaniu, określonych przez Zamawiającego w ogłoszeniu </w:t>
      </w:r>
      <w:r w:rsidRPr="005D3B66">
        <w:rPr>
          <w:b/>
          <w:bCs/>
          <w:sz w:val="24"/>
          <w:szCs w:val="24"/>
        </w:rPr>
        <w:t xml:space="preserve">                           </w:t>
      </w:r>
      <w:r w:rsidRPr="005D3B66">
        <w:rPr>
          <w:b/>
          <w:bCs/>
          <w:sz w:val="24"/>
          <w:szCs w:val="24"/>
        </w:rPr>
        <w:t xml:space="preserve">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 xml:space="preserve">12.4. </w:t>
      </w:r>
      <w:r w:rsidRPr="005D3B66">
        <w:rPr>
          <w:b/>
          <w:bCs/>
          <w:sz w:val="24"/>
          <w:szCs w:val="24"/>
        </w:rPr>
        <w:t>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5C49EE"/>
    <w:rsid w:val="005D3B66"/>
    <w:rsid w:val="006E6801"/>
    <w:rsid w:val="007B4164"/>
    <w:rsid w:val="009142C6"/>
    <w:rsid w:val="009A52E6"/>
    <w:rsid w:val="00AA4641"/>
    <w:rsid w:val="00C60325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2C067409-2363-40FC-BC14-7C653E0C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Aneta Cholewa</cp:lastModifiedBy>
  <cp:revision>5</cp:revision>
  <dcterms:created xsi:type="dcterms:W3CDTF">2021-02-19T14:04:00Z</dcterms:created>
  <dcterms:modified xsi:type="dcterms:W3CDTF">2021-03-10T09:29:00Z</dcterms:modified>
</cp:coreProperties>
</file>